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t>CENTRO STUDI SUL CLASSICISMO</w:t>
      </w:r>
    </w:p>
    <w:p>
      <w:pPr>
        <w:jc w:val="center"/>
        <w:rPr>
          <w:rFonts w:ascii="Times New Roman" w:hAnsi="Times New Roman" w:cs="Times New Roman"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t>Sede in Prato- Via luigi Muzzi, 38</w:t>
      </w:r>
    </w:p>
    <w:p>
      <w:pPr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RELAZIONE DEL SINDACO  E REVISORE UNICO AL BILANCIO DI ESERCIZIO AL 31-12-2020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Pregiatissimi membri Associati, siete stati convocati per l’approvazione definitiva del rendiconto dell’attività del Centro Studi sul Classicismo relativo all’esercizio chiuso al 31 dicembre 2020 nonché della relativa situazione patrimoniale e dei documenti che accompagnano il bilancio,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Passando al merito del bilancio 2020 lo stesso chiude con un risultato di gestione dell’esercizio in utile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per l’importo di  euro 12.851,05. Si fa presente che tale risultato è influenzato prevalentemente dall’adozione di metodi  di imputazione delle componenti di reddito improntate ad un criterio puro di cassa.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Abbiamo esaminato il bilancio d’esercizio dell’Associazione al 31-12-2020 che risulta redatto ai sensi di legge e  statuto e regolarmente comunicato. Detto documento è risultato nel suo complesso idoneo a rappresentare in modo chiaro e veritiero l’andamento della gestione 2020 nonché la situazione patrimoniale finanziaria alla data di riferimento. I dati di bilancio esaminati trovano corrispondenza con le scritture contabili, che periodicamente esaminate sono risultate tenute a norma di legge e secondo una corretta tecnica contabile.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Nell’adempimento dei suoi doveri e nello svolgimento della sua funzione di sindaco e revisore unico, dall’esame degli atti e della documentazione sociale nonché dal confronto dei dati di bilancio dall’esame delle risultanze contabili:</w:t>
      </w:r>
    </w:p>
    <w:p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constatato la sostanziale osservanza delle disposizioni delle disposizioni di legge e dello statuto;</w:t>
      </w:r>
    </w:p>
    <w:p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constatato che l’amministratore dell’ Associazione  è impostata secondo corretti principi avendo ricevuto dagli amministratori notizie sulle operazioni di maggior rilievo, sull’andamento della gestione e sulle condizioni operative e di sviluppo dell’attività istituzionale ;</w:t>
      </w:r>
    </w:p>
    <w:p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ha esaminato e valutato le operazioni finanziarie che sono risultate normali senza che vi sia stato luogo a rilievi ; </w:t>
      </w:r>
    </w:p>
    <w:p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verificato l’adeguatezza della organizzazione amministrativo-contabile della Associazione che è risultata affidabile ed adeguata rispetto alla dimensione dell’ente ed alle caratteristiche dell’attività svolta ed ha riscontrato la correttezza  delle procedure relative agli adempimenti periodici anche fiscali; </w:t>
      </w:r>
    </w:p>
    <w:p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verificato la coerenza della gestione annuale con il contenuto del bilancio.</w:t>
      </w:r>
    </w:p>
    <w:p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Revisore Unico non ha rilievi in ordine al Bilancio.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voci della situazione Patrimoniale, aggregate , secondo la loro natura si presentano in sintesi come segue (dati in €):</w:t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ATTIVO </w:t>
      </w:r>
    </w:p>
    <w:p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Immobilizzazioni materiali immateriali e                     71.388,99</w:t>
      </w:r>
    </w:p>
    <w:p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finanziarie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2.410,20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Disponibilità Liquide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124.898,34</w:t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TOTALE ATTIVITA’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198.697,53</w:t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PASSIVO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Fornitori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12.263,83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Fondi Ammortamento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29.536,00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Patrimonio netto (compreso utile d’esercizio)            154.244,38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Debiti tributari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7,32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Debiti Diversi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2.646,00</w:t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TOTALE PASSIVITA’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198.697,53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Sono state fornite informazioni sui criteri di valutazione delle voci di bilancio condivise ricevendo notizie sulla attività svolta nel corso del 2020 e sulle prospettive della evoluzione dell’attività istituzionale per il proseguimento della scopo statutario. La gestione risulta esauriente nel fornire notizie sulle condizioni attuali e sullo sviluppo dell’attività e sulla prevedibile evoluzione della prospettive, sulla missione istituzionale e sui vari progetti perseguiti e sul trasferimento dei risultati ottenuti. 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particolare si  segnala di condividere il criterio di iscrizione in bilancio delle immobilizzazioni immateriali nonché il criterio di riconoscimento dei costi e proventi secondo il criterio di cassa. Si condivide infine la rilevazione dei contributi e delle liberalità ricevute con vincolo di scopo e/o destinazione.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nostro giudizio il sopramenzionato bilancio, corrisponde alle risultanza dei libri e delle scritture contabili la valutazione del patrimonio sociale è stata effettuata in conformità ai criteri dell’art.2426 del Codice Civile. 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tutto quanto sopra riferito nulla osta da parte del revisore unico alla approvazione del bilancio di esercizio 2020 prevedendo il riporto nuovo dell’utile   d’esercizio di € 12.851,05 accantonando il  pari importo alla voce di riserva del patrimonio denominata “Utili portati a nuovo” 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Firenze, 16-03-2021 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Il Sindaco e Revisore unico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Dott. Guasparri Simone </w:t>
      </w:r>
    </w:p>
    <w:sectPr>
      <w:pgSz w:w="11906" w:h="16838" w:code="9"/>
      <w:pgMar w:top="1701" w:right="2325" w:bottom="1701" w:left="164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22743"/>
    <w:multiLevelType w:val="hybridMultilevel"/>
    <w:tmpl w:val="D10E81AC"/>
    <w:lvl w:ilvl="0" w:tplc="D5AA8C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</dc:creator>
  <cp:lastModifiedBy>paola palagi</cp:lastModifiedBy>
  <cp:revision>2</cp:revision>
  <cp:lastPrinted>2017-03-22T11:38:00Z</cp:lastPrinted>
  <dcterms:created xsi:type="dcterms:W3CDTF">2021-03-19T13:47:00Z</dcterms:created>
  <dcterms:modified xsi:type="dcterms:W3CDTF">2021-03-19T13:47:00Z</dcterms:modified>
</cp:coreProperties>
</file>